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17EFC" w14:textId="0CFD9B31" w:rsidR="009B2658" w:rsidRDefault="009B2658" w:rsidP="00B12CEB">
      <w:pPr>
        <w:spacing w:after="60"/>
        <w:jc w:val="both"/>
        <w:rPr>
          <w:rFonts w:ascii="Abadi" w:eastAsia="Times New Roman" w:hAnsi="Abadi" w:cs="Times New Roman"/>
          <w:b/>
          <w:bCs/>
          <w:color w:val="501549" w:themeColor="accent5" w:themeShade="80"/>
          <w:sz w:val="24"/>
          <w:szCs w:val="24"/>
        </w:rPr>
      </w:pPr>
      <w:r w:rsidRPr="006E0C27">
        <w:rPr>
          <w:rFonts w:ascii="Abadi" w:hAnsi="Abadi"/>
          <w:b/>
          <w:noProof/>
          <w:color w:val="000000" w:themeColor="text1"/>
          <w:sz w:val="20"/>
          <w:szCs w:val="20"/>
        </w:rPr>
        <w:drawing>
          <wp:inline distT="0" distB="0" distL="0" distR="0" wp14:anchorId="78374F69" wp14:editId="398DC80C">
            <wp:extent cx="2113276" cy="1519348"/>
            <wp:effectExtent l="0" t="0" r="0" b="5080"/>
            <wp:docPr id="2" name="Image 2" descr="Macintosh HD:Users:hirschhirsch:Desktop:LOGO C C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hirschhirsch:Desktop:LOGO C CDES.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14214" cy="1520022"/>
                    </a:xfrm>
                    <a:prstGeom prst="rect">
                      <a:avLst/>
                    </a:prstGeom>
                    <a:noFill/>
                    <a:ln>
                      <a:noFill/>
                    </a:ln>
                  </pic:spPr>
                </pic:pic>
              </a:graphicData>
            </a:graphic>
          </wp:inline>
        </w:drawing>
      </w:r>
    </w:p>
    <w:p w14:paraId="0C50DCC6" w14:textId="77777777" w:rsidR="009B2658" w:rsidRDefault="009B2658" w:rsidP="00B12CEB">
      <w:pPr>
        <w:spacing w:after="60"/>
        <w:jc w:val="both"/>
        <w:rPr>
          <w:rFonts w:ascii="Abadi" w:eastAsia="Times New Roman" w:hAnsi="Abadi" w:cs="Times New Roman"/>
          <w:b/>
          <w:bCs/>
          <w:color w:val="501549" w:themeColor="accent5" w:themeShade="80"/>
          <w:sz w:val="24"/>
          <w:szCs w:val="24"/>
        </w:rPr>
      </w:pPr>
    </w:p>
    <w:p w14:paraId="433C265A" w14:textId="77777777" w:rsidR="009B2658" w:rsidRDefault="009B2658" w:rsidP="00B12CEB">
      <w:pPr>
        <w:spacing w:after="60"/>
        <w:jc w:val="both"/>
        <w:rPr>
          <w:rFonts w:ascii="Abadi" w:eastAsia="Times New Roman" w:hAnsi="Abadi" w:cs="Times New Roman"/>
          <w:b/>
          <w:bCs/>
          <w:color w:val="501549" w:themeColor="accent5" w:themeShade="80"/>
          <w:sz w:val="24"/>
          <w:szCs w:val="24"/>
        </w:rPr>
      </w:pPr>
    </w:p>
    <w:p w14:paraId="459D854A" w14:textId="77777777" w:rsidR="009B2658" w:rsidRDefault="009B2658" w:rsidP="00B12CEB">
      <w:pPr>
        <w:spacing w:after="60"/>
        <w:jc w:val="both"/>
        <w:rPr>
          <w:rFonts w:ascii="Abadi" w:eastAsia="Times New Roman" w:hAnsi="Abadi" w:cs="Times New Roman"/>
          <w:b/>
          <w:bCs/>
          <w:color w:val="501549" w:themeColor="accent5" w:themeShade="80"/>
          <w:sz w:val="24"/>
          <w:szCs w:val="24"/>
        </w:rPr>
      </w:pPr>
    </w:p>
    <w:p w14:paraId="21105B22" w14:textId="15324C15" w:rsidR="00B12CEB" w:rsidRPr="006010B0" w:rsidRDefault="00B12CEB" w:rsidP="00B12CEB">
      <w:pPr>
        <w:spacing w:after="60"/>
        <w:jc w:val="both"/>
        <w:rPr>
          <w:rFonts w:ascii="Abadi" w:eastAsia="Times New Roman" w:hAnsi="Abadi" w:cs="Times New Roman"/>
          <w:b/>
          <w:bCs/>
          <w:color w:val="501549" w:themeColor="accent5" w:themeShade="80"/>
          <w:sz w:val="28"/>
          <w:szCs w:val="28"/>
        </w:rPr>
      </w:pPr>
      <w:r w:rsidRPr="006010B0">
        <w:rPr>
          <w:rFonts w:ascii="Abadi" w:eastAsia="Times New Roman" w:hAnsi="Abadi" w:cs="Times New Roman"/>
          <w:b/>
          <w:bCs/>
          <w:color w:val="501549" w:themeColor="accent5" w:themeShade="80"/>
          <w:sz w:val="28"/>
          <w:szCs w:val="28"/>
        </w:rPr>
        <w:t>Communiqué</w:t>
      </w:r>
    </w:p>
    <w:p w14:paraId="0B84FA27" w14:textId="334FC82F" w:rsidR="00B12CEB" w:rsidRPr="00B12CEB" w:rsidRDefault="00B12CEB" w:rsidP="00B12CEB">
      <w:pPr>
        <w:spacing w:after="60"/>
        <w:jc w:val="both"/>
        <w:rPr>
          <w:rFonts w:ascii="Abadi" w:eastAsia="Times New Roman" w:hAnsi="Abadi" w:cs="Segoe UI"/>
          <w:color w:val="501549" w:themeColor="accent5" w:themeShade="80"/>
          <w:sz w:val="24"/>
          <w:szCs w:val="24"/>
          <w:bdr w:val="none" w:sz="0" w:space="0" w:color="auto" w:frame="1"/>
        </w:rPr>
      </w:pPr>
      <w:r w:rsidRPr="00B12CEB">
        <w:rPr>
          <w:rFonts w:ascii="Abadi" w:eastAsia="Times New Roman" w:hAnsi="Abadi" w:cs="Segoe UI"/>
          <w:color w:val="501549" w:themeColor="accent5" w:themeShade="80"/>
          <w:sz w:val="24"/>
          <w:szCs w:val="24"/>
          <w:bdr w:val="none" w:sz="0" w:space="0" w:color="auto" w:frame="1"/>
        </w:rPr>
        <w:t xml:space="preserve"> </w:t>
      </w:r>
    </w:p>
    <w:p w14:paraId="34AA1736" w14:textId="77777777" w:rsidR="00B12CEB" w:rsidRPr="00B12CEB" w:rsidRDefault="00B12CEB" w:rsidP="00B12CEB">
      <w:pPr>
        <w:pStyle w:val="Titre3"/>
        <w:shd w:val="clear" w:color="auto" w:fill="FFFFFF"/>
        <w:spacing w:before="0" w:after="60"/>
        <w:jc w:val="both"/>
        <w:rPr>
          <w:rFonts w:ascii="Abadi" w:hAnsi="Abadi" w:cs="Times New Roman"/>
          <w:b/>
          <w:bCs/>
          <w:color w:val="501549" w:themeColor="accent5" w:themeShade="80"/>
          <w:sz w:val="24"/>
          <w:szCs w:val="24"/>
        </w:rPr>
      </w:pPr>
      <w:r w:rsidRPr="00B12CEB">
        <w:rPr>
          <w:rFonts w:ascii="Abadi" w:hAnsi="Abadi" w:cs="Segoe UI"/>
          <w:b/>
          <w:bCs/>
          <w:color w:val="501549" w:themeColor="accent5" w:themeShade="80"/>
          <w:sz w:val="24"/>
          <w:szCs w:val="24"/>
        </w:rPr>
        <w:t xml:space="preserve">Examen au Sénat de la proposition de loi sur l'aide à mourir (11-13 mai) : </w:t>
      </w:r>
      <w:r w:rsidRPr="00B12CEB">
        <w:rPr>
          <w:rFonts w:ascii="Abadi" w:hAnsi="Abadi" w:cs="Times New Roman"/>
          <w:b/>
          <w:bCs/>
          <w:color w:val="501549" w:themeColor="accent5" w:themeShade="80"/>
          <w:sz w:val="24"/>
          <w:szCs w:val="24"/>
        </w:rPr>
        <w:t>le Collectif salue un sursaut de conscience, et appelle le gouvernement à ne pas passer en force</w:t>
      </w:r>
    </w:p>
    <w:p w14:paraId="22F5B6F4" w14:textId="77777777" w:rsidR="00B12CEB" w:rsidRPr="00B12CEB" w:rsidRDefault="00B12CEB" w:rsidP="00B12CEB">
      <w:pPr>
        <w:pStyle w:val="Titre3"/>
        <w:shd w:val="clear" w:color="auto" w:fill="FFFFFF"/>
        <w:spacing w:before="0" w:after="60"/>
        <w:jc w:val="both"/>
        <w:rPr>
          <w:rFonts w:ascii="Abadi" w:hAnsi="Abadi" w:cs="Times New Roman"/>
          <w:b/>
          <w:bCs/>
          <w:color w:val="501549" w:themeColor="accent5" w:themeShade="80"/>
          <w:sz w:val="24"/>
          <w:szCs w:val="24"/>
        </w:rPr>
      </w:pPr>
    </w:p>
    <w:p w14:paraId="2792F2AA" w14:textId="74227FE8" w:rsidR="001C5021" w:rsidRDefault="001C5021" w:rsidP="00B12CEB">
      <w:pPr>
        <w:pStyle w:val="Titre3"/>
        <w:shd w:val="clear" w:color="auto" w:fill="FFFFFF"/>
        <w:spacing w:before="0" w:after="60"/>
        <w:jc w:val="both"/>
        <w:rPr>
          <w:rFonts w:ascii="Abadi" w:hAnsi="Abadi" w:cs="Times New Roman"/>
          <w:color w:val="000000" w:themeColor="text1"/>
          <w:sz w:val="24"/>
          <w:szCs w:val="24"/>
        </w:rPr>
      </w:pPr>
      <w:r w:rsidRPr="00B12CEB">
        <w:rPr>
          <w:rFonts w:ascii="Abadi" w:hAnsi="Abadi" w:cs="Times New Roman"/>
          <w:color w:val="000000" w:themeColor="text1"/>
          <w:sz w:val="24"/>
          <w:szCs w:val="24"/>
        </w:rPr>
        <w:t>1</w:t>
      </w:r>
      <w:r w:rsidR="006010B0">
        <w:rPr>
          <w:rFonts w:ascii="Abadi" w:hAnsi="Abadi" w:cs="Times New Roman"/>
          <w:color w:val="000000" w:themeColor="text1"/>
          <w:sz w:val="24"/>
          <w:szCs w:val="24"/>
        </w:rPr>
        <w:t>3</w:t>
      </w:r>
      <w:r w:rsidRPr="00B12CEB">
        <w:rPr>
          <w:rFonts w:ascii="Abadi" w:hAnsi="Abadi" w:cs="Times New Roman"/>
          <w:color w:val="000000" w:themeColor="text1"/>
          <w:sz w:val="24"/>
          <w:szCs w:val="24"/>
        </w:rPr>
        <w:t xml:space="preserve"> mai 2026</w:t>
      </w:r>
    </w:p>
    <w:p w14:paraId="46946D5F" w14:textId="77777777" w:rsidR="00B12CEB" w:rsidRDefault="00B12CEB" w:rsidP="00B12CEB">
      <w:pPr>
        <w:jc w:val="both"/>
      </w:pPr>
    </w:p>
    <w:p w14:paraId="55983237" w14:textId="77777777" w:rsidR="00B12CEB" w:rsidRDefault="00B12CEB" w:rsidP="00B12CEB">
      <w:pPr>
        <w:jc w:val="both"/>
      </w:pPr>
    </w:p>
    <w:p w14:paraId="4AC7C669" w14:textId="77777777" w:rsidR="00B12CEB" w:rsidRPr="00B12CEB" w:rsidRDefault="00B12CEB" w:rsidP="00B12CEB">
      <w:pPr>
        <w:jc w:val="both"/>
      </w:pPr>
    </w:p>
    <w:p w14:paraId="4B7418E2" w14:textId="6FD98F54" w:rsidR="001C5021" w:rsidRPr="00B12CEB" w:rsidRDefault="001C5021" w:rsidP="00B12CEB">
      <w:pPr>
        <w:spacing w:after="60"/>
        <w:jc w:val="both"/>
        <w:rPr>
          <w:rFonts w:ascii="Abadi" w:hAnsi="Abadi" w:cs="Times New Roman"/>
          <w:color w:val="000000" w:themeColor="text1"/>
          <w:sz w:val="24"/>
          <w:szCs w:val="24"/>
        </w:rPr>
      </w:pPr>
      <w:r w:rsidRPr="00B12CEB">
        <w:rPr>
          <w:rFonts w:ascii="Abadi" w:hAnsi="Abadi" w:cs="Times New Roman"/>
          <w:color w:val="000000" w:themeColor="text1"/>
          <w:sz w:val="24"/>
          <w:szCs w:val="24"/>
        </w:rPr>
        <w:t>Le Sénat a adopté à une quasi-unanimité la proposition de loi visant à garantir l’accès aux soins palliatifs, et rejeté la proposition de loi relative au droit à l’aide à mourir. Le Collectif démocratie, éthique et solidarités (CDES) salue ce double signal et rend hommage à la qualité du travail accompli par la Haute Assemblée.</w:t>
      </w:r>
    </w:p>
    <w:p w14:paraId="6B2C508C" w14:textId="77777777" w:rsidR="00B12CEB" w:rsidRDefault="00B12CEB" w:rsidP="00B12CEB">
      <w:pPr>
        <w:spacing w:after="60"/>
        <w:jc w:val="both"/>
        <w:rPr>
          <w:rFonts w:ascii="Abadi" w:hAnsi="Abadi" w:cs="Times New Roman"/>
          <w:b/>
          <w:bCs/>
          <w:color w:val="000000" w:themeColor="text1"/>
          <w:sz w:val="24"/>
          <w:szCs w:val="24"/>
        </w:rPr>
      </w:pPr>
    </w:p>
    <w:p w14:paraId="3FEB67A0" w14:textId="139F8E8C" w:rsidR="001C5021" w:rsidRPr="00B12CEB" w:rsidRDefault="001C5021" w:rsidP="00B12CEB">
      <w:pPr>
        <w:spacing w:after="60"/>
        <w:jc w:val="both"/>
        <w:rPr>
          <w:rFonts w:ascii="Abadi" w:hAnsi="Abadi" w:cs="Times New Roman"/>
          <w:color w:val="000000" w:themeColor="text1"/>
          <w:sz w:val="24"/>
          <w:szCs w:val="24"/>
        </w:rPr>
      </w:pPr>
      <w:r w:rsidRPr="00B12CEB">
        <w:rPr>
          <w:rFonts w:ascii="Abadi" w:hAnsi="Abadi" w:cs="Times New Roman"/>
          <w:b/>
          <w:bCs/>
          <w:color w:val="000000" w:themeColor="text1"/>
          <w:sz w:val="24"/>
          <w:szCs w:val="24"/>
        </w:rPr>
        <w:t>Un consensus sur les soins palliatifs : enfin une priorité nationale</w:t>
      </w:r>
    </w:p>
    <w:p w14:paraId="44F33094" w14:textId="7F67283F" w:rsidR="001C5021" w:rsidRPr="00B12CEB" w:rsidRDefault="001C5021" w:rsidP="00B12CEB">
      <w:pPr>
        <w:spacing w:after="60"/>
        <w:jc w:val="both"/>
        <w:rPr>
          <w:rFonts w:ascii="Abadi" w:hAnsi="Abadi" w:cs="Times New Roman"/>
          <w:color w:val="000000" w:themeColor="text1"/>
          <w:sz w:val="24"/>
          <w:szCs w:val="24"/>
        </w:rPr>
      </w:pPr>
      <w:r w:rsidRPr="00B12CEB">
        <w:rPr>
          <w:rFonts w:ascii="Abadi" w:hAnsi="Abadi" w:cs="Times New Roman"/>
          <w:color w:val="000000" w:themeColor="text1"/>
          <w:sz w:val="24"/>
          <w:szCs w:val="24"/>
        </w:rPr>
        <w:t>L’adoption quasi-unanime de la proposition de loi sur les soins palliatifs est un acquis majeur. Elle démontre que le développement de l’accompagnement de la fin de vie fait consensus et doit constituer une véritable priorité nationale. Elle montre aussi que les parlementaires savent se rassembler sur les sujets qui engagent l’humanité de notre système de santé et la protection des plus vulnérables.</w:t>
      </w:r>
    </w:p>
    <w:p w14:paraId="409B743C" w14:textId="4978F74E" w:rsidR="001C5021" w:rsidRDefault="00AF13B6" w:rsidP="00B12CEB">
      <w:pPr>
        <w:spacing w:after="60"/>
        <w:jc w:val="both"/>
        <w:rPr>
          <w:rFonts w:ascii="Abadi" w:hAnsi="Abadi" w:cs="Times New Roman"/>
          <w:color w:val="000000" w:themeColor="text1"/>
          <w:sz w:val="24"/>
          <w:szCs w:val="24"/>
        </w:rPr>
      </w:pPr>
      <w:r w:rsidRPr="00B12CEB">
        <w:rPr>
          <w:rFonts w:ascii="Abadi" w:hAnsi="Abadi" w:cs="Times New Roman"/>
          <w:color w:val="000000" w:themeColor="text1"/>
          <w:sz w:val="24"/>
          <w:szCs w:val="24"/>
        </w:rPr>
        <w:t>Le CDES appelle désormais à la traduction concrète et rapide de ce vote : moyens humains, financiers et structurels nécessaires, sur l’ensemble du territoire et sans délai. La loi du 9 juin 1999 attend encore, vingt-sept ans après, son application pleine et entière. Ce nouvel élan législatif n’aura de sens que s’il se traduit, dans chaque département, par un accès effectif aux soins palliatifs.</w:t>
      </w:r>
    </w:p>
    <w:p w14:paraId="4F6A5B7B" w14:textId="77777777" w:rsidR="00B12CEB" w:rsidRPr="00B12CEB" w:rsidRDefault="00B12CEB" w:rsidP="00B12CEB">
      <w:pPr>
        <w:spacing w:after="60"/>
        <w:jc w:val="both"/>
        <w:rPr>
          <w:rFonts w:ascii="Abadi" w:hAnsi="Abadi" w:cs="Times New Roman"/>
          <w:color w:val="000000" w:themeColor="text1"/>
          <w:sz w:val="24"/>
          <w:szCs w:val="24"/>
        </w:rPr>
      </w:pPr>
    </w:p>
    <w:p w14:paraId="26C6ECCD" w14:textId="77777777" w:rsidR="001C5021" w:rsidRPr="00B12CEB" w:rsidRDefault="001C5021" w:rsidP="00B12CEB">
      <w:pPr>
        <w:spacing w:after="60"/>
        <w:jc w:val="both"/>
        <w:rPr>
          <w:rFonts w:ascii="Abadi" w:hAnsi="Abadi" w:cs="Times New Roman"/>
          <w:color w:val="000000" w:themeColor="text1"/>
          <w:sz w:val="24"/>
          <w:szCs w:val="24"/>
        </w:rPr>
      </w:pPr>
      <w:r w:rsidRPr="00B12CEB">
        <w:rPr>
          <w:rFonts w:ascii="Abadi" w:hAnsi="Abadi" w:cs="Times New Roman"/>
          <w:b/>
          <w:bCs/>
          <w:color w:val="000000" w:themeColor="text1"/>
          <w:sz w:val="24"/>
          <w:szCs w:val="24"/>
        </w:rPr>
        <w:t>Un sursaut de conscience, à la hauteur de la mission constitutionnelle du Sénat</w:t>
      </w:r>
    </w:p>
    <w:p w14:paraId="3877477E" w14:textId="63E4AB30" w:rsidR="001C5021" w:rsidRPr="00B12CEB" w:rsidRDefault="001C5021" w:rsidP="00B12CEB">
      <w:pPr>
        <w:spacing w:after="60"/>
        <w:jc w:val="both"/>
        <w:rPr>
          <w:rFonts w:ascii="Abadi" w:hAnsi="Abadi" w:cs="Times New Roman"/>
          <w:color w:val="000000" w:themeColor="text1"/>
          <w:sz w:val="24"/>
          <w:szCs w:val="24"/>
        </w:rPr>
      </w:pPr>
      <w:r w:rsidRPr="00B12CEB">
        <w:rPr>
          <w:rFonts w:ascii="Abadi" w:hAnsi="Abadi" w:cs="Times New Roman"/>
          <w:color w:val="000000" w:themeColor="text1"/>
          <w:sz w:val="24"/>
          <w:szCs w:val="24"/>
        </w:rPr>
        <w:t>En refusant la légalisation du geste létal, les sénatrices et sénateurs ont fait honneur à leur rôle de chambre de réflexion et de protection des plus vulnérables. Loin des emballements et des assignations sommaires, ils ont pris le temps d’écouter, de peser, de discerner. Ils ont entendu les soignants, les sociétés savantes, les représentants des personnes en situation de handicap, les acteurs des soins palliatifs, qui n’ont cessé d’alerter sur les fragilités structurelles d’un dispositif dont les garde-fous se sont érodés au fil des lectures.</w:t>
      </w:r>
    </w:p>
    <w:p w14:paraId="52FE9081" w14:textId="28968D2F" w:rsidR="001C5021" w:rsidRDefault="001C5021" w:rsidP="00B12CEB">
      <w:pPr>
        <w:spacing w:after="60"/>
        <w:jc w:val="both"/>
        <w:rPr>
          <w:rFonts w:ascii="Abadi" w:hAnsi="Abadi" w:cs="Times New Roman"/>
          <w:color w:val="000000" w:themeColor="text1"/>
          <w:sz w:val="24"/>
          <w:szCs w:val="24"/>
        </w:rPr>
      </w:pPr>
      <w:r w:rsidRPr="00B12CEB">
        <w:rPr>
          <w:rFonts w:ascii="Abadi" w:hAnsi="Abadi" w:cs="Times New Roman"/>
          <w:color w:val="000000" w:themeColor="text1"/>
          <w:sz w:val="24"/>
          <w:szCs w:val="24"/>
        </w:rPr>
        <w:lastRenderedPageBreak/>
        <w:t>Le Sénat a rappelé une vérité simple : on ne légifère pas sur la mort provoquée comme on légifère sur n’importe quel autre objet de politique publique. Lorsqu’un texte engage les fondements mêmes du pacte qui nous lie aux plus fragiles, la précipitation n’est pas une vertu, et la majorité d’un instant ne saurait tenir lieu de sagesse collective.</w:t>
      </w:r>
    </w:p>
    <w:p w14:paraId="1C8C8BD0" w14:textId="77777777" w:rsidR="00B12CEB" w:rsidRPr="00B12CEB" w:rsidRDefault="00B12CEB" w:rsidP="00B12CEB">
      <w:pPr>
        <w:spacing w:after="60"/>
        <w:jc w:val="both"/>
        <w:rPr>
          <w:rFonts w:ascii="Abadi" w:hAnsi="Abadi" w:cs="Times New Roman"/>
          <w:color w:val="000000" w:themeColor="text1"/>
          <w:sz w:val="24"/>
          <w:szCs w:val="24"/>
        </w:rPr>
      </w:pPr>
    </w:p>
    <w:p w14:paraId="0AFA75A4" w14:textId="77777777" w:rsidR="001C5021" w:rsidRPr="00B12CEB" w:rsidRDefault="001C5021" w:rsidP="00B12CEB">
      <w:pPr>
        <w:spacing w:after="60"/>
        <w:jc w:val="both"/>
        <w:rPr>
          <w:rFonts w:ascii="Abadi" w:hAnsi="Abadi" w:cs="Times New Roman"/>
          <w:color w:val="000000" w:themeColor="text1"/>
          <w:sz w:val="24"/>
          <w:szCs w:val="24"/>
        </w:rPr>
      </w:pPr>
      <w:r w:rsidRPr="00B12CEB">
        <w:rPr>
          <w:rFonts w:ascii="Abadi" w:hAnsi="Abadi" w:cs="Times New Roman"/>
          <w:b/>
          <w:bCs/>
          <w:color w:val="000000" w:themeColor="text1"/>
          <w:sz w:val="24"/>
          <w:szCs w:val="24"/>
        </w:rPr>
        <w:t>Un texte qui fracture la société, le monde médical et la représentation nationale</w:t>
      </w:r>
    </w:p>
    <w:p w14:paraId="69EAC1A2" w14:textId="6F0537DC" w:rsidR="00AF13B6" w:rsidRPr="00B12CEB" w:rsidRDefault="00AF13B6" w:rsidP="00B12CEB">
      <w:pPr>
        <w:spacing w:after="60"/>
        <w:jc w:val="both"/>
        <w:rPr>
          <w:rFonts w:ascii="Abadi" w:hAnsi="Abadi" w:cs="Times New Roman"/>
          <w:color w:val="000000" w:themeColor="text1"/>
          <w:sz w:val="24"/>
          <w:szCs w:val="24"/>
        </w:rPr>
      </w:pPr>
      <w:r w:rsidRPr="00B12CEB">
        <w:rPr>
          <w:rFonts w:ascii="Abadi" w:hAnsi="Abadi" w:cs="Times New Roman"/>
          <w:color w:val="000000" w:themeColor="text1"/>
          <w:sz w:val="24"/>
          <w:szCs w:val="24"/>
        </w:rPr>
        <w:t>Le rejet de l'article 2</w:t>
      </w:r>
      <w:r w:rsidR="00B12CEB">
        <w:rPr>
          <w:rFonts w:ascii="Abadi" w:hAnsi="Abadi" w:cs="Times New Roman"/>
          <w:color w:val="000000" w:themeColor="text1"/>
          <w:sz w:val="24"/>
          <w:szCs w:val="24"/>
        </w:rPr>
        <w:t xml:space="preserve"> de la proposition de loi relative au droit à l’aide à mourir</w:t>
      </w:r>
      <w:r w:rsidR="00B12CEB">
        <w:rPr>
          <w:rStyle w:val="Appelnotedebasdep"/>
          <w:rFonts w:ascii="Abadi" w:hAnsi="Abadi" w:cs="Times New Roman"/>
          <w:color w:val="000000" w:themeColor="text1"/>
          <w:sz w:val="24"/>
          <w:szCs w:val="24"/>
        </w:rPr>
        <w:footnoteReference w:id="1"/>
      </w:r>
      <w:r w:rsidRPr="00B12CEB">
        <w:rPr>
          <w:rFonts w:ascii="Abadi" w:hAnsi="Abadi" w:cs="Times New Roman"/>
          <w:color w:val="000000" w:themeColor="text1"/>
          <w:sz w:val="24"/>
          <w:szCs w:val="24"/>
        </w:rPr>
        <w:t xml:space="preserve"> confirme ce que les débats successifs avaient déjà laissé paraître : le geste létal ne se prête pas à un compromis. Les amendements de modération se sont heurtés à deux refus opposés et également fermés : celui de toute introduction d'un acte de mort dans le champ du soin, celui de toute limite apportée au principe de l'aide à mourir. Entre ces deux positions, aucune écriture n'a pu se frayer un chemin.</w:t>
      </w:r>
    </w:p>
    <w:p w14:paraId="0874D22F" w14:textId="1CC72AE3" w:rsidR="00517F8F" w:rsidRDefault="00AF13B6" w:rsidP="00B12CEB">
      <w:pPr>
        <w:spacing w:after="60"/>
        <w:jc w:val="both"/>
        <w:rPr>
          <w:rFonts w:ascii="Abadi" w:hAnsi="Abadi" w:cs="Times New Roman"/>
          <w:color w:val="000000" w:themeColor="text1"/>
          <w:sz w:val="24"/>
          <w:szCs w:val="24"/>
        </w:rPr>
      </w:pPr>
      <w:r w:rsidRPr="00B12CEB">
        <w:rPr>
          <w:rFonts w:ascii="Abadi" w:hAnsi="Abadi" w:cs="Times New Roman"/>
          <w:color w:val="000000" w:themeColor="text1"/>
          <w:sz w:val="24"/>
          <w:szCs w:val="24"/>
        </w:rPr>
        <w:t>Les indices convergent : adoption en deuxième lecture à l'Assemblée nationale par une majorité de plus en plus étroite, rejet par le Sénat, opposition constante des sociétés savantes, des soignants et de nombreuses associations de patients. Sur un sujet qui touche à la signification du soin et à la place que la société accorde à ses membres les plus vulnérables, ignorer ces signaux pour imposer le texte en l'état serait une décision lourde, dont les conséquences engageraient durablement la confiance dans l'institution médicale comme dans la parole publique.</w:t>
      </w:r>
    </w:p>
    <w:p w14:paraId="14EE7AFD" w14:textId="77777777" w:rsidR="00B12CEB" w:rsidRPr="00B12CEB" w:rsidRDefault="00B12CEB" w:rsidP="00B12CEB">
      <w:pPr>
        <w:spacing w:after="60"/>
        <w:jc w:val="both"/>
        <w:rPr>
          <w:rFonts w:ascii="Abadi" w:hAnsi="Abadi" w:cs="Times New Roman"/>
          <w:color w:val="000000" w:themeColor="text1"/>
          <w:sz w:val="24"/>
          <w:szCs w:val="24"/>
        </w:rPr>
      </w:pPr>
    </w:p>
    <w:p w14:paraId="0F586C96" w14:textId="574EE35A" w:rsidR="001C5021" w:rsidRPr="00B12CEB" w:rsidRDefault="001C5021" w:rsidP="00B12CEB">
      <w:pPr>
        <w:spacing w:after="60"/>
        <w:jc w:val="both"/>
        <w:rPr>
          <w:rFonts w:ascii="Abadi" w:hAnsi="Abadi" w:cs="Times New Roman"/>
          <w:color w:val="000000" w:themeColor="text1"/>
          <w:sz w:val="24"/>
          <w:szCs w:val="24"/>
        </w:rPr>
      </w:pPr>
      <w:r w:rsidRPr="00B12CEB">
        <w:rPr>
          <w:rFonts w:ascii="Abadi" w:hAnsi="Abadi" w:cs="Times New Roman"/>
          <w:b/>
          <w:bCs/>
          <w:color w:val="000000" w:themeColor="text1"/>
          <w:sz w:val="24"/>
          <w:szCs w:val="24"/>
        </w:rPr>
        <w:t>Une responsabilité qui engage maintenant le Gouvernement</w:t>
      </w:r>
    </w:p>
    <w:p w14:paraId="4E4A6000" w14:textId="1FA821FE" w:rsidR="001C5021" w:rsidRPr="00B12CEB" w:rsidRDefault="001C5021" w:rsidP="00B12CEB">
      <w:pPr>
        <w:spacing w:after="60"/>
        <w:jc w:val="both"/>
        <w:rPr>
          <w:rFonts w:ascii="Abadi" w:hAnsi="Abadi" w:cs="Times New Roman"/>
          <w:color w:val="000000" w:themeColor="text1"/>
          <w:sz w:val="24"/>
          <w:szCs w:val="24"/>
        </w:rPr>
      </w:pPr>
      <w:r w:rsidRPr="00B12CEB">
        <w:rPr>
          <w:rFonts w:ascii="Abadi" w:hAnsi="Abadi" w:cs="Times New Roman"/>
          <w:color w:val="000000" w:themeColor="text1"/>
          <w:sz w:val="24"/>
          <w:szCs w:val="24"/>
        </w:rPr>
        <w:t xml:space="preserve">Dans ces conditions, </w:t>
      </w:r>
      <w:r w:rsidRPr="00B12CEB">
        <w:rPr>
          <w:rFonts w:ascii="Abadi" w:hAnsi="Abadi" w:cs="Times New Roman"/>
          <w:b/>
          <w:bCs/>
          <w:color w:val="000000" w:themeColor="text1"/>
          <w:sz w:val="24"/>
          <w:szCs w:val="24"/>
        </w:rPr>
        <w:t>le CDES appelle solennellement le Gouvernement</w:t>
      </w:r>
      <w:r w:rsidRPr="00B12CEB">
        <w:rPr>
          <w:rFonts w:ascii="Abadi" w:hAnsi="Abadi" w:cs="Times New Roman"/>
          <w:color w:val="000000" w:themeColor="text1"/>
          <w:sz w:val="24"/>
          <w:szCs w:val="24"/>
        </w:rPr>
        <w:t xml:space="preserve"> </w:t>
      </w:r>
      <w:r w:rsidRPr="00B12CEB">
        <w:rPr>
          <w:rFonts w:ascii="Abadi" w:hAnsi="Abadi" w:cs="Times New Roman"/>
          <w:b/>
          <w:bCs/>
          <w:color w:val="000000" w:themeColor="text1"/>
          <w:sz w:val="24"/>
          <w:szCs w:val="24"/>
        </w:rPr>
        <w:t>à ne pas chercher à passer en force</w:t>
      </w:r>
      <w:r w:rsidRPr="00B12CEB">
        <w:rPr>
          <w:rFonts w:ascii="Abadi" w:hAnsi="Abadi" w:cs="Times New Roman"/>
          <w:color w:val="000000" w:themeColor="text1"/>
          <w:sz w:val="24"/>
          <w:szCs w:val="24"/>
        </w:rPr>
        <w:t>. Recourir aux artifices de procédure, contourner la navette, imposer en dernière lecture ce que le Sénat vient explicitement de refuser : ce serait, sur un sujet qui touche à l’intime, à la vulnérabilité et au sens même de la solidarité nationale, blesser la démocratie au lieu de la servir.</w:t>
      </w:r>
    </w:p>
    <w:p w14:paraId="1651D1F8" w14:textId="52E50C26" w:rsidR="001C5021" w:rsidRPr="00B12CEB" w:rsidRDefault="001C5021" w:rsidP="00B12CEB">
      <w:pPr>
        <w:spacing w:after="60"/>
        <w:jc w:val="both"/>
        <w:rPr>
          <w:rFonts w:ascii="Abadi" w:hAnsi="Abadi" w:cs="Times New Roman"/>
          <w:color w:val="000000" w:themeColor="text1"/>
          <w:sz w:val="24"/>
          <w:szCs w:val="24"/>
        </w:rPr>
      </w:pPr>
      <w:r w:rsidRPr="00B12CEB">
        <w:rPr>
          <w:rFonts w:ascii="Abadi" w:hAnsi="Abadi" w:cs="Times New Roman"/>
          <w:color w:val="000000" w:themeColor="text1"/>
          <w:sz w:val="24"/>
          <w:szCs w:val="24"/>
        </w:rPr>
        <w:t xml:space="preserve">Le CDES rappelle l’exigence posée par le Comité consultatif national d’éthique dans son avis n°139 </w:t>
      </w:r>
      <w:r w:rsidR="00B12CEB">
        <w:rPr>
          <w:rFonts w:ascii="Abadi" w:hAnsi="Abadi" w:cs="Times New Roman"/>
          <w:color w:val="000000" w:themeColor="text1"/>
          <w:sz w:val="24"/>
          <w:szCs w:val="24"/>
        </w:rPr>
        <w:t xml:space="preserve">du 13 septembre 2022 </w:t>
      </w:r>
      <w:r w:rsidRPr="00B12CEB">
        <w:rPr>
          <w:rFonts w:ascii="Abadi" w:hAnsi="Abadi" w:cs="Times New Roman"/>
          <w:color w:val="000000" w:themeColor="text1"/>
          <w:sz w:val="24"/>
          <w:szCs w:val="24"/>
        </w:rPr>
        <w:t xml:space="preserve">: « </w:t>
      </w:r>
      <w:r w:rsidRPr="00B12CEB">
        <w:rPr>
          <w:rFonts w:ascii="Abadi" w:hAnsi="Abadi" w:cs="Times New Roman"/>
          <w:i/>
          <w:iCs/>
          <w:color w:val="000000" w:themeColor="text1"/>
          <w:sz w:val="24"/>
          <w:szCs w:val="24"/>
        </w:rPr>
        <w:t>il ne serait pas éthique d’envisager une évolution de la législation si les mesures de santé publique recommandées dans le domaine des soins palliatifs ne sont pas prises en compte</w:t>
      </w:r>
      <w:r w:rsidR="00B12CEB">
        <w:rPr>
          <w:rFonts w:ascii="Abadi" w:hAnsi="Abadi" w:cs="Times New Roman"/>
          <w:i/>
          <w:iCs/>
          <w:color w:val="000000" w:themeColor="text1"/>
          <w:sz w:val="24"/>
          <w:szCs w:val="24"/>
        </w:rPr>
        <w:t>.</w:t>
      </w:r>
      <w:r w:rsidRPr="00B12CEB">
        <w:rPr>
          <w:rFonts w:ascii="Abadi" w:hAnsi="Abadi" w:cs="Times New Roman"/>
          <w:color w:val="000000" w:themeColor="text1"/>
          <w:sz w:val="24"/>
          <w:szCs w:val="24"/>
        </w:rPr>
        <w:t xml:space="preserve"> »</w:t>
      </w:r>
      <w:r w:rsidR="00B12CEB">
        <w:rPr>
          <w:rFonts w:ascii="Abadi" w:hAnsi="Abadi" w:cs="Times New Roman"/>
          <w:color w:val="000000" w:themeColor="text1"/>
          <w:sz w:val="24"/>
          <w:szCs w:val="24"/>
        </w:rPr>
        <w:t xml:space="preserve"> </w:t>
      </w:r>
      <w:r w:rsidRPr="00B12CEB">
        <w:rPr>
          <w:rFonts w:ascii="Abadi" w:hAnsi="Abadi" w:cs="Times New Roman"/>
          <w:color w:val="000000" w:themeColor="text1"/>
          <w:sz w:val="24"/>
          <w:szCs w:val="24"/>
        </w:rPr>
        <w:t>Le vote intervenu sur les soins palliatifs marque un premier pas indispensable. Il doit désormais être suivi d’effets concrets avant que toute autre discussion ne puisse légitimement être ouverte.</w:t>
      </w:r>
    </w:p>
    <w:p w14:paraId="5BF0D522" w14:textId="152F78FB" w:rsidR="001C5021" w:rsidRDefault="001C5021" w:rsidP="00B12CEB">
      <w:pPr>
        <w:spacing w:after="60"/>
        <w:jc w:val="both"/>
        <w:rPr>
          <w:rFonts w:ascii="Abadi" w:hAnsi="Abadi" w:cs="Times New Roman"/>
          <w:color w:val="000000" w:themeColor="text1"/>
          <w:sz w:val="24"/>
          <w:szCs w:val="24"/>
        </w:rPr>
      </w:pPr>
      <w:r w:rsidRPr="00B12CEB">
        <w:rPr>
          <w:rFonts w:ascii="Abadi" w:hAnsi="Abadi" w:cs="Times New Roman"/>
          <w:color w:val="000000" w:themeColor="text1"/>
          <w:sz w:val="24"/>
          <w:szCs w:val="24"/>
        </w:rPr>
        <w:t>Les sujets appellent du temps, de l’écoute, et la recherche patiente d’un chemin qui n’oppose pas la liberté des uns à la protection des autres.</w:t>
      </w:r>
    </w:p>
    <w:p w14:paraId="4740B474" w14:textId="77777777" w:rsidR="00B12CEB" w:rsidRPr="00B12CEB" w:rsidRDefault="00B12CEB" w:rsidP="00B12CEB">
      <w:pPr>
        <w:spacing w:after="60"/>
        <w:jc w:val="both"/>
        <w:rPr>
          <w:rFonts w:ascii="Abadi" w:hAnsi="Abadi" w:cs="Times New Roman"/>
          <w:color w:val="000000" w:themeColor="text1"/>
          <w:sz w:val="24"/>
          <w:szCs w:val="24"/>
        </w:rPr>
      </w:pPr>
    </w:p>
    <w:p w14:paraId="412D627A" w14:textId="77777777" w:rsidR="001C5021" w:rsidRPr="00B12CEB" w:rsidRDefault="001C5021" w:rsidP="00B12CEB">
      <w:pPr>
        <w:spacing w:after="60"/>
        <w:jc w:val="both"/>
        <w:rPr>
          <w:rFonts w:ascii="Abadi" w:hAnsi="Abadi" w:cs="Times New Roman"/>
          <w:color w:val="000000" w:themeColor="text1"/>
          <w:sz w:val="24"/>
          <w:szCs w:val="24"/>
        </w:rPr>
      </w:pPr>
      <w:r w:rsidRPr="00B12CEB">
        <w:rPr>
          <w:rFonts w:ascii="Abadi" w:hAnsi="Abadi" w:cs="Times New Roman"/>
          <w:b/>
          <w:bCs/>
          <w:color w:val="000000" w:themeColor="text1"/>
          <w:sz w:val="24"/>
          <w:szCs w:val="24"/>
        </w:rPr>
        <w:t>Bâtir maintenant la loi qui manque réellement aux Français</w:t>
      </w:r>
    </w:p>
    <w:p w14:paraId="0527B618" w14:textId="77777777" w:rsidR="001C5021" w:rsidRPr="00B12CEB" w:rsidRDefault="001C5021" w:rsidP="00B12CEB">
      <w:pPr>
        <w:spacing w:after="60"/>
        <w:jc w:val="both"/>
        <w:rPr>
          <w:rFonts w:ascii="Abadi" w:hAnsi="Abadi" w:cs="Times New Roman"/>
          <w:color w:val="000000" w:themeColor="text1"/>
          <w:sz w:val="24"/>
          <w:szCs w:val="24"/>
        </w:rPr>
      </w:pPr>
      <w:r w:rsidRPr="00B12CEB">
        <w:rPr>
          <w:rFonts w:ascii="Abadi" w:hAnsi="Abadi" w:cs="Times New Roman"/>
          <w:color w:val="000000" w:themeColor="text1"/>
          <w:sz w:val="24"/>
          <w:szCs w:val="24"/>
        </w:rPr>
        <w:t>Le double vote du Sénat ouvre un espace que le législateur doit saisir. Le CDES appelle à porter, sans tarder, les mesures à la hauteur des attentes réelles de nos concitoyens :</w:t>
      </w:r>
    </w:p>
    <w:p w14:paraId="5F816D0A" w14:textId="75B8054F" w:rsidR="001C5021" w:rsidRPr="00B12CEB" w:rsidRDefault="001C5021" w:rsidP="00B12CEB">
      <w:pPr>
        <w:pStyle w:val="Paragraphedeliste"/>
        <w:numPr>
          <w:ilvl w:val="0"/>
          <w:numId w:val="1"/>
        </w:numPr>
        <w:spacing w:after="60"/>
        <w:contextualSpacing w:val="0"/>
        <w:jc w:val="both"/>
        <w:rPr>
          <w:rFonts w:ascii="Abadi" w:hAnsi="Abadi" w:cs="Times New Roman"/>
          <w:color w:val="000000" w:themeColor="text1"/>
          <w:sz w:val="24"/>
          <w:szCs w:val="24"/>
        </w:rPr>
      </w:pPr>
      <w:proofErr w:type="gramStart"/>
      <w:r w:rsidRPr="00B12CEB">
        <w:rPr>
          <w:rFonts w:ascii="Abadi" w:hAnsi="Abadi" w:cs="Times New Roman"/>
          <w:color w:val="000000" w:themeColor="text1"/>
          <w:sz w:val="24"/>
          <w:szCs w:val="24"/>
        </w:rPr>
        <w:t>le</w:t>
      </w:r>
      <w:proofErr w:type="gramEnd"/>
      <w:r w:rsidRPr="00B12CEB">
        <w:rPr>
          <w:rFonts w:ascii="Abadi" w:hAnsi="Abadi" w:cs="Times New Roman"/>
          <w:color w:val="000000" w:themeColor="text1"/>
          <w:sz w:val="24"/>
          <w:szCs w:val="24"/>
        </w:rPr>
        <w:t xml:space="preserve"> déploiement effectif et financé des soins palliatifs dans les départements aujourd’hui dépourvus d’unité dédiée, en application immédiate du vote intervenu</w:t>
      </w:r>
      <w:r w:rsidR="00B12CEB">
        <w:rPr>
          <w:rFonts w:ascii="Abadi" w:hAnsi="Abadi" w:cs="Times New Roman"/>
          <w:color w:val="000000" w:themeColor="text1"/>
          <w:sz w:val="24"/>
          <w:szCs w:val="24"/>
        </w:rPr>
        <w:t> </w:t>
      </w:r>
      <w:r w:rsidRPr="00B12CEB">
        <w:rPr>
          <w:rFonts w:ascii="Abadi" w:hAnsi="Abadi" w:cs="Times New Roman"/>
          <w:color w:val="000000" w:themeColor="text1"/>
          <w:sz w:val="24"/>
          <w:szCs w:val="24"/>
        </w:rPr>
        <w:t>;</w:t>
      </w:r>
    </w:p>
    <w:p w14:paraId="03410CED" w14:textId="77777777" w:rsidR="001C5021" w:rsidRPr="00B12CEB" w:rsidRDefault="001C5021" w:rsidP="00B12CEB">
      <w:pPr>
        <w:pStyle w:val="Paragraphedeliste"/>
        <w:numPr>
          <w:ilvl w:val="0"/>
          <w:numId w:val="1"/>
        </w:numPr>
        <w:spacing w:after="60"/>
        <w:contextualSpacing w:val="0"/>
        <w:jc w:val="both"/>
        <w:rPr>
          <w:rFonts w:ascii="Abadi" w:hAnsi="Abadi" w:cs="Times New Roman"/>
          <w:color w:val="000000" w:themeColor="text1"/>
          <w:sz w:val="24"/>
          <w:szCs w:val="24"/>
        </w:rPr>
      </w:pPr>
      <w:proofErr w:type="gramStart"/>
      <w:r w:rsidRPr="00B12CEB">
        <w:rPr>
          <w:rFonts w:ascii="Abadi" w:hAnsi="Abadi" w:cs="Times New Roman"/>
          <w:b/>
          <w:bCs/>
          <w:color w:val="000000" w:themeColor="text1"/>
          <w:sz w:val="24"/>
          <w:szCs w:val="24"/>
        </w:rPr>
        <w:lastRenderedPageBreak/>
        <w:t>une</w:t>
      </w:r>
      <w:proofErr w:type="gramEnd"/>
      <w:r w:rsidRPr="00B12CEB">
        <w:rPr>
          <w:rFonts w:ascii="Abadi" w:hAnsi="Abadi" w:cs="Times New Roman"/>
          <w:b/>
          <w:bCs/>
          <w:color w:val="000000" w:themeColor="text1"/>
          <w:sz w:val="24"/>
          <w:szCs w:val="24"/>
        </w:rPr>
        <w:t xml:space="preserve"> prise en charge universelle de la douleur</w:t>
      </w:r>
      <w:r w:rsidRPr="00B12CEB">
        <w:rPr>
          <w:rFonts w:ascii="Abadi" w:hAnsi="Abadi" w:cs="Times New Roman"/>
          <w:color w:val="000000" w:themeColor="text1"/>
          <w:sz w:val="24"/>
          <w:szCs w:val="24"/>
        </w:rPr>
        <w:t xml:space="preserve"> : par un investissement structurel et pérenne dans les consultations dédiées, la médecine palliative, la formation des soignants et la recherche sur la souffrance réfractaire ;</w:t>
      </w:r>
    </w:p>
    <w:p w14:paraId="71998FF9" w14:textId="77777777" w:rsidR="001C5021" w:rsidRPr="00B12CEB" w:rsidRDefault="001C5021" w:rsidP="00B12CEB">
      <w:pPr>
        <w:pStyle w:val="Paragraphedeliste"/>
        <w:numPr>
          <w:ilvl w:val="0"/>
          <w:numId w:val="1"/>
        </w:numPr>
        <w:spacing w:after="60"/>
        <w:contextualSpacing w:val="0"/>
        <w:jc w:val="both"/>
        <w:rPr>
          <w:rFonts w:ascii="Abadi" w:hAnsi="Abadi" w:cs="Times New Roman"/>
          <w:color w:val="000000" w:themeColor="text1"/>
          <w:sz w:val="24"/>
          <w:szCs w:val="24"/>
        </w:rPr>
      </w:pPr>
      <w:proofErr w:type="gramStart"/>
      <w:r w:rsidRPr="00B12CEB">
        <w:rPr>
          <w:rFonts w:ascii="Abadi" w:hAnsi="Abadi" w:cs="Times New Roman"/>
          <w:b/>
          <w:bCs/>
          <w:color w:val="000000" w:themeColor="text1"/>
          <w:sz w:val="24"/>
          <w:szCs w:val="24"/>
        </w:rPr>
        <w:t>un</w:t>
      </w:r>
      <w:proofErr w:type="gramEnd"/>
      <w:r w:rsidRPr="00B12CEB">
        <w:rPr>
          <w:rFonts w:ascii="Abadi" w:hAnsi="Abadi" w:cs="Times New Roman"/>
          <w:b/>
          <w:bCs/>
          <w:color w:val="000000" w:themeColor="text1"/>
          <w:sz w:val="24"/>
          <w:szCs w:val="24"/>
        </w:rPr>
        <w:t xml:space="preserve"> renforcement des droits des patients</w:t>
      </w:r>
      <w:r w:rsidRPr="00B12CEB">
        <w:rPr>
          <w:rFonts w:ascii="Abadi" w:hAnsi="Abadi" w:cs="Times New Roman"/>
          <w:color w:val="000000" w:themeColor="text1"/>
          <w:sz w:val="24"/>
          <w:szCs w:val="24"/>
        </w:rPr>
        <w:t xml:space="preserve"> : information loyale, collégialité des décisions, consolidation des directives anticipées et de la position de la personne de confiance, protection contre toute pression ;</w:t>
      </w:r>
    </w:p>
    <w:p w14:paraId="2B354649" w14:textId="102E75FD" w:rsidR="001C5021" w:rsidRPr="00B12CEB" w:rsidRDefault="001C5021" w:rsidP="00B12CEB">
      <w:pPr>
        <w:pStyle w:val="Paragraphedeliste"/>
        <w:numPr>
          <w:ilvl w:val="0"/>
          <w:numId w:val="1"/>
        </w:numPr>
        <w:spacing w:after="60"/>
        <w:contextualSpacing w:val="0"/>
        <w:jc w:val="both"/>
        <w:rPr>
          <w:rFonts w:ascii="Abadi" w:hAnsi="Abadi" w:cs="Times New Roman"/>
          <w:color w:val="000000" w:themeColor="text1"/>
          <w:sz w:val="24"/>
          <w:szCs w:val="24"/>
        </w:rPr>
      </w:pPr>
      <w:proofErr w:type="gramStart"/>
      <w:r w:rsidRPr="00B12CEB">
        <w:rPr>
          <w:rFonts w:ascii="Abadi" w:hAnsi="Abadi" w:cs="Times New Roman"/>
          <w:b/>
          <w:bCs/>
          <w:color w:val="000000" w:themeColor="text1"/>
          <w:sz w:val="24"/>
          <w:szCs w:val="24"/>
        </w:rPr>
        <w:t>un</w:t>
      </w:r>
      <w:proofErr w:type="gramEnd"/>
      <w:r w:rsidRPr="00B12CEB">
        <w:rPr>
          <w:rFonts w:ascii="Abadi" w:hAnsi="Abadi" w:cs="Times New Roman"/>
          <w:b/>
          <w:bCs/>
          <w:color w:val="000000" w:themeColor="text1"/>
          <w:sz w:val="24"/>
          <w:szCs w:val="24"/>
        </w:rPr>
        <w:t xml:space="preserve"> accompagnement humain renforcé en fin de vie</w:t>
      </w:r>
      <w:r w:rsidRPr="00B12CEB">
        <w:rPr>
          <w:rFonts w:ascii="Abadi" w:hAnsi="Abadi" w:cs="Times New Roman"/>
          <w:color w:val="000000" w:themeColor="text1"/>
          <w:sz w:val="24"/>
          <w:szCs w:val="24"/>
        </w:rPr>
        <w:t xml:space="preserve"> (équipes mobiles, maisons d’accompagnement, soutien aux proches et reconnaissance pleine et entière des aidants) afin que chacun puisse mourir entouré, apaisé, écouté.</w:t>
      </w:r>
    </w:p>
    <w:p w14:paraId="35D62E78" w14:textId="77777777" w:rsidR="001C5021" w:rsidRDefault="001C5021" w:rsidP="00B12CEB">
      <w:pPr>
        <w:spacing w:after="60"/>
        <w:jc w:val="both"/>
        <w:rPr>
          <w:rFonts w:ascii="Abadi" w:hAnsi="Abadi" w:cs="Times New Roman"/>
          <w:color w:val="000000" w:themeColor="text1"/>
          <w:sz w:val="24"/>
          <w:szCs w:val="24"/>
        </w:rPr>
      </w:pPr>
      <w:r w:rsidRPr="00B12CEB">
        <w:rPr>
          <w:rFonts w:ascii="Abadi" w:hAnsi="Abadi" w:cs="Times New Roman"/>
          <w:color w:val="000000" w:themeColor="text1"/>
          <w:sz w:val="24"/>
          <w:szCs w:val="24"/>
        </w:rPr>
        <w:t>Telle est la loi qui manque réellement à notre pays. Telle est la voie qui honore, ensemble, la liberté et la fraternité.</w:t>
      </w:r>
    </w:p>
    <w:p w14:paraId="24AAD753" w14:textId="77777777" w:rsidR="00B12CEB" w:rsidRPr="00B12CEB" w:rsidRDefault="00B12CEB" w:rsidP="00B12CEB">
      <w:pPr>
        <w:spacing w:after="60"/>
        <w:jc w:val="both"/>
        <w:rPr>
          <w:rFonts w:ascii="Abadi" w:hAnsi="Abadi" w:cs="Times New Roman"/>
          <w:color w:val="000000" w:themeColor="text1"/>
          <w:sz w:val="24"/>
          <w:szCs w:val="24"/>
        </w:rPr>
      </w:pPr>
    </w:p>
    <w:p w14:paraId="4A1B2C01" w14:textId="77777777" w:rsidR="001C5021" w:rsidRPr="00B12CEB" w:rsidRDefault="001C5021" w:rsidP="00B12CEB">
      <w:pPr>
        <w:spacing w:after="60"/>
        <w:jc w:val="both"/>
        <w:rPr>
          <w:rFonts w:ascii="Abadi" w:hAnsi="Abadi" w:cs="Times New Roman"/>
          <w:color w:val="000000" w:themeColor="text1"/>
          <w:sz w:val="24"/>
          <w:szCs w:val="24"/>
        </w:rPr>
      </w:pPr>
      <w:r w:rsidRPr="00B12CEB">
        <w:rPr>
          <w:rFonts w:ascii="Abadi" w:hAnsi="Abadi" w:cs="Times New Roman"/>
          <w:b/>
          <w:bCs/>
          <w:color w:val="000000" w:themeColor="text1"/>
          <w:sz w:val="24"/>
          <w:szCs w:val="24"/>
        </w:rPr>
        <w:t>Un enjeu de société qui devra être tranché par la présidentielle</w:t>
      </w:r>
    </w:p>
    <w:p w14:paraId="6CA0C441" w14:textId="01C6D4AC" w:rsidR="001C5021" w:rsidRDefault="001C5021" w:rsidP="00B12CEB">
      <w:pPr>
        <w:spacing w:after="60"/>
        <w:jc w:val="both"/>
        <w:rPr>
          <w:rFonts w:ascii="Abadi" w:hAnsi="Abadi" w:cs="Times New Roman"/>
          <w:color w:val="000000" w:themeColor="text1"/>
          <w:sz w:val="24"/>
          <w:szCs w:val="24"/>
        </w:rPr>
      </w:pPr>
      <w:r w:rsidRPr="00B12CEB">
        <w:rPr>
          <w:rFonts w:ascii="Abadi" w:hAnsi="Abadi" w:cs="Times New Roman"/>
          <w:color w:val="000000" w:themeColor="text1"/>
          <w:sz w:val="24"/>
          <w:szCs w:val="24"/>
        </w:rPr>
        <w:t>Au-delà du calendrier parlementaire, c’est désormais un véritable enjeu de société qui se dessine, et qui devra être tranché lors de la prochaine élection présidentielle. La place que notre pays accorde au soin, à l’accompagnement des plus vulnérables et à la fraternité n’est pas une question technique : elle dit quelque chose de fondamental sur la société que nous voulons être. Faire de la mort provoquée une réponse offerte à la souffrance, ou choisir au contraire d’investir massivement dans le soin, l’accompagnement et la solidarité envers les plus fragiles : ce choix engage l’identité même de notre République. Le CDES appelle les candidates et candidats à la magistrature suprême à se prononcer clairement sur ce sujet et à faire de la fraternité envers les plus vulnérables un axe central du débat démocratique à venir.</w:t>
      </w:r>
    </w:p>
    <w:p w14:paraId="02DD9216" w14:textId="77777777" w:rsidR="00B12CEB" w:rsidRDefault="00B12CEB" w:rsidP="00B12CEB">
      <w:pPr>
        <w:spacing w:after="60"/>
        <w:jc w:val="both"/>
        <w:rPr>
          <w:rFonts w:ascii="Abadi" w:hAnsi="Abadi" w:cs="Times New Roman"/>
          <w:color w:val="000000" w:themeColor="text1"/>
          <w:sz w:val="24"/>
          <w:szCs w:val="24"/>
        </w:rPr>
      </w:pPr>
    </w:p>
    <w:p w14:paraId="1230F648" w14:textId="77777777" w:rsidR="00B12CEB" w:rsidRDefault="00B12CEB" w:rsidP="00B12CEB">
      <w:pPr>
        <w:spacing w:after="60"/>
        <w:jc w:val="center"/>
        <w:rPr>
          <w:rFonts w:ascii="Abadi" w:hAnsi="Abadi" w:cs="Times New Roman"/>
          <w:color w:val="000000" w:themeColor="text1"/>
          <w:sz w:val="24"/>
          <w:szCs w:val="24"/>
        </w:rPr>
      </w:pPr>
    </w:p>
    <w:p w14:paraId="66D190FB" w14:textId="228DF846" w:rsidR="00B12CEB" w:rsidRPr="00B12CEB" w:rsidRDefault="00B12CEB" w:rsidP="00B12CEB">
      <w:pPr>
        <w:spacing w:after="60"/>
        <w:jc w:val="center"/>
        <w:rPr>
          <w:rFonts w:ascii="Abadi" w:hAnsi="Abadi" w:cs="Times New Roman"/>
          <w:color w:val="000000" w:themeColor="text1"/>
          <w:sz w:val="24"/>
          <w:szCs w:val="24"/>
        </w:rPr>
      </w:pPr>
      <w:r>
        <w:rPr>
          <w:rFonts w:ascii="Abadi" w:hAnsi="Abadi" w:cs="Times New Roman"/>
          <w:color w:val="000000" w:themeColor="text1"/>
          <w:sz w:val="24"/>
          <w:szCs w:val="24"/>
        </w:rPr>
        <w:t>_________________</w:t>
      </w:r>
    </w:p>
    <w:sectPr w:rsidR="00B12CEB" w:rsidRPr="00B12CEB" w:rsidSect="001C5021">
      <w:footerReference w:type="even" r:id="rId8"/>
      <w:footerReference w:type="default" r:id="rId9"/>
      <w:pgSz w:w="11906" w:h="16838"/>
      <w:pgMar w:top="1100" w:right="1440" w:bottom="110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80FBD" w14:textId="77777777" w:rsidR="00A46B26" w:rsidRDefault="00A46B26" w:rsidP="001C5021">
      <w:r>
        <w:separator/>
      </w:r>
    </w:p>
  </w:endnote>
  <w:endnote w:type="continuationSeparator" w:id="0">
    <w:p w14:paraId="0291C11B" w14:textId="77777777" w:rsidR="00A46B26" w:rsidRDefault="00A46B26" w:rsidP="001C5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1"/>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badi">
    <w:panose1 w:val="020B0604020104020204"/>
    <w:charset w:val="4D"/>
    <w:family w:val="swiss"/>
    <w:pitch w:val="variable"/>
    <w:sig w:usb0="80000003"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Times New Roman (Corps CS)">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513575534"/>
      <w:docPartObj>
        <w:docPartGallery w:val="Page Numbers (Bottom of Page)"/>
        <w:docPartUnique/>
      </w:docPartObj>
    </w:sdtPr>
    <w:sdtContent>
      <w:p w14:paraId="5E4277FF" w14:textId="6F6C699A" w:rsidR="00B12CEB" w:rsidRDefault="00B12CEB" w:rsidP="00294C28">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fldChar w:fldCharType="end"/>
        </w:r>
      </w:p>
    </w:sdtContent>
  </w:sdt>
  <w:p w14:paraId="665B791F" w14:textId="77777777" w:rsidR="00B12CEB" w:rsidRDefault="00B12CEB" w:rsidP="00B12CEB">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2070452615"/>
      <w:docPartObj>
        <w:docPartGallery w:val="Page Numbers (Bottom of Page)"/>
        <w:docPartUnique/>
      </w:docPartObj>
    </w:sdtPr>
    <w:sdtEndPr>
      <w:rPr>
        <w:rStyle w:val="Numrodepage"/>
        <w:rFonts w:ascii="Abadi" w:hAnsi="Abadi"/>
      </w:rPr>
    </w:sdtEndPr>
    <w:sdtContent>
      <w:p w14:paraId="26962036" w14:textId="15F7ABD3" w:rsidR="00B12CEB" w:rsidRPr="00B12CEB" w:rsidRDefault="00B12CEB" w:rsidP="00294C28">
        <w:pPr>
          <w:pStyle w:val="Pieddepage"/>
          <w:framePr w:wrap="none" w:vAnchor="text" w:hAnchor="margin" w:xAlign="right" w:y="1"/>
          <w:rPr>
            <w:rStyle w:val="Numrodepage"/>
            <w:rFonts w:ascii="Abadi" w:hAnsi="Abadi"/>
          </w:rPr>
        </w:pPr>
        <w:r w:rsidRPr="00B12CEB">
          <w:rPr>
            <w:rStyle w:val="Numrodepage"/>
            <w:rFonts w:ascii="Abadi" w:hAnsi="Abadi"/>
          </w:rPr>
          <w:fldChar w:fldCharType="begin"/>
        </w:r>
        <w:r w:rsidRPr="00B12CEB">
          <w:rPr>
            <w:rStyle w:val="Numrodepage"/>
            <w:rFonts w:ascii="Abadi" w:hAnsi="Abadi"/>
          </w:rPr>
          <w:instrText xml:space="preserve"> PAGE </w:instrText>
        </w:r>
        <w:r w:rsidRPr="00B12CEB">
          <w:rPr>
            <w:rStyle w:val="Numrodepage"/>
            <w:rFonts w:ascii="Abadi" w:hAnsi="Abadi"/>
          </w:rPr>
          <w:fldChar w:fldCharType="separate"/>
        </w:r>
        <w:r w:rsidRPr="00B12CEB">
          <w:rPr>
            <w:rStyle w:val="Numrodepage"/>
            <w:rFonts w:ascii="Abadi" w:hAnsi="Abadi"/>
            <w:noProof/>
          </w:rPr>
          <w:t>3</w:t>
        </w:r>
        <w:r w:rsidRPr="00B12CEB">
          <w:rPr>
            <w:rStyle w:val="Numrodepage"/>
            <w:rFonts w:ascii="Abadi" w:hAnsi="Abadi"/>
          </w:rPr>
          <w:fldChar w:fldCharType="end"/>
        </w:r>
      </w:p>
    </w:sdtContent>
  </w:sdt>
  <w:p w14:paraId="0D171F19" w14:textId="77777777" w:rsidR="00B12CEB" w:rsidRPr="006E0C27" w:rsidRDefault="00B12CEB" w:rsidP="00B12CEB">
    <w:pPr>
      <w:pStyle w:val="Pieddepage"/>
      <w:rPr>
        <w:rFonts w:ascii="Abadi" w:hAnsi="Abadi" w:cs="Times New Roman (Corps CS)"/>
      </w:rPr>
    </w:pPr>
    <w:r w:rsidRPr="006E0C27">
      <w:rPr>
        <w:rFonts w:ascii="Abadi" w:hAnsi="Abadi"/>
        <w:b/>
        <w:noProof/>
        <w:color w:val="000000" w:themeColor="text1"/>
        <w:sz w:val="20"/>
        <w:szCs w:val="20"/>
      </w:rPr>
      <w:drawing>
        <wp:inline distT="0" distB="0" distL="0" distR="0" wp14:anchorId="4B10AF30" wp14:editId="5A1DAB9D">
          <wp:extent cx="491781" cy="353568"/>
          <wp:effectExtent l="0" t="0" r="3810" b="2540"/>
          <wp:docPr id="452654117" name="Image 452654117" descr="Macintosh HD:Users:hirschhirsch:Desktop:LOGO C C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hirschhirsch:Desktop:LOGO C CDE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11027" cy="367405"/>
                  </a:xfrm>
                  <a:prstGeom prst="rect">
                    <a:avLst/>
                  </a:prstGeom>
                  <a:noFill/>
                  <a:ln>
                    <a:noFill/>
                  </a:ln>
                </pic:spPr>
              </pic:pic>
            </a:graphicData>
          </a:graphic>
        </wp:inline>
      </w:drawing>
    </w:r>
  </w:p>
  <w:p w14:paraId="1998C96D" w14:textId="67162AAC" w:rsidR="001C5021" w:rsidRPr="00B12CEB" w:rsidRDefault="001C5021" w:rsidP="00B12CEB">
    <w:pPr>
      <w:ind w:right="360"/>
      <w:jc w:val="center"/>
      <w:rPr>
        <w:rFonts w:ascii="Abadi" w:hAnsi="Abad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FEA49" w14:textId="77777777" w:rsidR="00A46B26" w:rsidRDefault="00A46B26" w:rsidP="001C5021">
      <w:r>
        <w:separator/>
      </w:r>
    </w:p>
  </w:footnote>
  <w:footnote w:type="continuationSeparator" w:id="0">
    <w:p w14:paraId="634E146F" w14:textId="77777777" w:rsidR="00A46B26" w:rsidRDefault="00A46B26" w:rsidP="001C5021">
      <w:r>
        <w:continuationSeparator/>
      </w:r>
    </w:p>
  </w:footnote>
  <w:footnote w:id="1">
    <w:p w14:paraId="6F3CD40D" w14:textId="77777777" w:rsidR="009B2658" w:rsidRDefault="00B12CEB" w:rsidP="006010B0">
      <w:pPr>
        <w:pStyle w:val="assnatloitexte"/>
        <w:spacing w:before="0" w:beforeAutospacing="0" w:after="0" w:afterAutospacing="0"/>
        <w:jc w:val="both"/>
        <w:rPr>
          <w:rFonts w:ascii="Abadi" w:hAnsi="Abadi"/>
          <w:color w:val="000000"/>
          <w:sz w:val="16"/>
          <w:szCs w:val="16"/>
        </w:rPr>
      </w:pPr>
      <w:r w:rsidRPr="00B12CEB">
        <w:rPr>
          <w:rStyle w:val="Appelnotedebasdep"/>
          <w:rFonts w:ascii="Abadi" w:hAnsi="Abadi"/>
          <w:sz w:val="16"/>
          <w:szCs w:val="16"/>
        </w:rPr>
        <w:footnoteRef/>
      </w:r>
      <w:r w:rsidRPr="00B12CEB">
        <w:rPr>
          <w:rFonts w:ascii="Abadi" w:hAnsi="Abadi"/>
          <w:sz w:val="16"/>
          <w:szCs w:val="16"/>
        </w:rPr>
        <w:t xml:space="preserve"> </w:t>
      </w:r>
      <w:r w:rsidRPr="00B12CEB">
        <w:rPr>
          <w:rFonts w:ascii="Abadi" w:hAnsi="Abadi"/>
          <w:color w:val="000000"/>
          <w:sz w:val="16"/>
          <w:szCs w:val="16"/>
        </w:rPr>
        <w:t>« </w:t>
      </w:r>
      <w:r w:rsidRPr="00B12CEB">
        <w:rPr>
          <w:rFonts w:ascii="Abadi" w:hAnsi="Abadi"/>
          <w:i/>
          <w:iCs/>
          <w:color w:val="000000"/>
          <w:sz w:val="16"/>
          <w:szCs w:val="16"/>
        </w:rPr>
        <w:t>Art. L. 1111</w:t>
      </w:r>
      <w:r w:rsidRPr="00B12CEB">
        <w:rPr>
          <w:rFonts w:ascii="Abadi" w:hAnsi="Abadi"/>
          <w:i/>
          <w:iCs/>
          <w:color w:val="000000"/>
          <w:sz w:val="16"/>
          <w:szCs w:val="16"/>
        </w:rPr>
        <w:noBreakHyphen/>
        <w:t>12</w:t>
      </w:r>
      <w:r w:rsidRPr="00B12CEB">
        <w:rPr>
          <w:rFonts w:ascii="Abadi" w:hAnsi="Abadi"/>
          <w:i/>
          <w:iCs/>
          <w:color w:val="000000"/>
          <w:sz w:val="16"/>
          <w:szCs w:val="16"/>
        </w:rPr>
        <w:noBreakHyphen/>
        <w:t>1. </w:t>
      </w:r>
      <w:r w:rsidRPr="00B12CEB">
        <w:rPr>
          <w:rFonts w:ascii="Abadi" w:hAnsi="Abadi"/>
          <w:color w:val="000000"/>
          <w:sz w:val="16"/>
          <w:szCs w:val="16"/>
        </w:rPr>
        <w:t>– I. – Le droit à l’aide à mourir consiste à autoriser et à accompagner une personne qui en a exprimé la demande à recourir à une substance létale, dans les conditions et selon les modalités prévues aux</w:t>
      </w:r>
      <w:r w:rsidRPr="00B12CEB">
        <w:rPr>
          <w:rStyle w:val="apple-converted-space"/>
          <w:rFonts w:ascii="Abadi" w:hAnsi="Abadi"/>
          <w:color w:val="000000"/>
          <w:sz w:val="16"/>
          <w:szCs w:val="16"/>
        </w:rPr>
        <w:t> </w:t>
      </w:r>
      <w:r w:rsidRPr="00B12CEB">
        <w:rPr>
          <w:rFonts w:ascii="Abadi" w:hAnsi="Abadi"/>
          <w:color w:val="000000"/>
          <w:spacing w:val="-4"/>
          <w:sz w:val="16"/>
          <w:szCs w:val="16"/>
        </w:rPr>
        <w:t>articles L. 1111</w:t>
      </w:r>
      <w:r w:rsidRPr="00B12CEB">
        <w:rPr>
          <w:rFonts w:ascii="Abadi" w:hAnsi="Abadi"/>
          <w:color w:val="000000"/>
          <w:spacing w:val="-4"/>
          <w:sz w:val="16"/>
          <w:szCs w:val="16"/>
        </w:rPr>
        <w:noBreakHyphen/>
        <w:t>12</w:t>
      </w:r>
      <w:r w:rsidRPr="00B12CEB">
        <w:rPr>
          <w:rFonts w:ascii="Abadi" w:hAnsi="Abadi"/>
          <w:color w:val="000000"/>
          <w:spacing w:val="-4"/>
          <w:sz w:val="16"/>
          <w:szCs w:val="16"/>
        </w:rPr>
        <w:noBreakHyphen/>
        <w:t>2 à L. 1111</w:t>
      </w:r>
      <w:r w:rsidRPr="00B12CEB">
        <w:rPr>
          <w:rFonts w:ascii="Abadi" w:hAnsi="Abadi"/>
          <w:color w:val="000000"/>
          <w:spacing w:val="-4"/>
          <w:sz w:val="16"/>
          <w:szCs w:val="16"/>
        </w:rPr>
        <w:noBreakHyphen/>
        <w:t>12</w:t>
      </w:r>
      <w:r w:rsidRPr="00B12CEB">
        <w:rPr>
          <w:rFonts w:ascii="Abadi" w:hAnsi="Abadi"/>
          <w:color w:val="000000"/>
          <w:spacing w:val="-4"/>
          <w:sz w:val="16"/>
          <w:szCs w:val="16"/>
        </w:rPr>
        <w:noBreakHyphen/>
        <w:t>7, afin qu’elle se l’administre ou, lorsqu’elle</w:t>
      </w:r>
      <w:r>
        <w:rPr>
          <w:rFonts w:ascii="Abadi" w:hAnsi="Abadi"/>
          <w:color w:val="000000"/>
          <w:spacing w:val="-4"/>
          <w:sz w:val="16"/>
          <w:szCs w:val="16"/>
        </w:rPr>
        <w:t xml:space="preserve"> </w:t>
      </w:r>
      <w:r w:rsidRPr="00B12CEB">
        <w:rPr>
          <w:rFonts w:ascii="Abadi" w:hAnsi="Abadi"/>
          <w:color w:val="000000"/>
          <w:sz w:val="16"/>
          <w:szCs w:val="16"/>
        </w:rPr>
        <w:t>n’est pas physiquement en mesure d’y procéder, se la fasse administrer par un médecin ou par un infirmier.</w:t>
      </w:r>
      <w:r w:rsidR="009B2658">
        <w:rPr>
          <w:rFonts w:ascii="Abadi" w:hAnsi="Abadi"/>
          <w:color w:val="000000"/>
          <w:sz w:val="16"/>
          <w:szCs w:val="16"/>
        </w:rPr>
        <w:t xml:space="preserve"> </w:t>
      </w:r>
    </w:p>
    <w:p w14:paraId="4135E739" w14:textId="5A00E422" w:rsidR="00B12CEB" w:rsidRPr="00B12CEB" w:rsidRDefault="00B12CEB" w:rsidP="006010B0">
      <w:pPr>
        <w:pStyle w:val="assnatloitexte"/>
        <w:spacing w:before="0" w:beforeAutospacing="0" w:after="0" w:afterAutospacing="0"/>
        <w:jc w:val="both"/>
        <w:rPr>
          <w:rFonts w:ascii="Abadi" w:hAnsi="Abadi"/>
          <w:color w:val="000000"/>
          <w:sz w:val="16"/>
          <w:szCs w:val="16"/>
        </w:rPr>
      </w:pPr>
      <w:r w:rsidRPr="00B12CEB">
        <w:rPr>
          <w:rFonts w:ascii="Abadi" w:hAnsi="Abadi"/>
          <w:color w:val="000000"/>
          <w:sz w:val="16"/>
          <w:szCs w:val="16"/>
        </w:rPr>
        <w:t>« II. – Le droit à l’aide à mourir est un acte autorisé par la loi au sens de l’article 122</w:t>
      </w:r>
      <w:r w:rsidRPr="00B12CEB">
        <w:rPr>
          <w:rFonts w:ascii="Abadi" w:hAnsi="Abadi"/>
          <w:color w:val="000000"/>
          <w:sz w:val="16"/>
          <w:szCs w:val="16"/>
        </w:rPr>
        <w:noBreakHyphen/>
        <w:t>4 du code pénal. »</w:t>
      </w:r>
    </w:p>
    <w:p w14:paraId="363CE6B0" w14:textId="4BF4402F" w:rsidR="00B12CEB" w:rsidRDefault="00B12CEB">
      <w:pPr>
        <w:pStyle w:val="Notedebasdepag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1C3E12"/>
    <w:multiLevelType w:val="hybridMultilevel"/>
    <w:tmpl w:val="F0CA3C6C"/>
    <w:lvl w:ilvl="0" w:tplc="5992C5B6">
      <w:start w:val="1"/>
      <w:numFmt w:val="bullet"/>
      <w:lvlText w:val="•"/>
      <w:lvlJc w:val="left"/>
      <w:pPr>
        <w:ind w:left="720" w:hanging="360"/>
      </w:pPr>
      <w:rPr>
        <w:rFonts w:ascii="Arial" w:eastAsia="Arial" w:hAnsi="Arial" w:cs="Arial"/>
      </w:rPr>
    </w:lvl>
    <w:lvl w:ilvl="1" w:tplc="57C82B82">
      <w:numFmt w:val="decimal"/>
      <w:lvlText w:val=""/>
      <w:lvlJc w:val="left"/>
    </w:lvl>
    <w:lvl w:ilvl="2" w:tplc="77CE855C">
      <w:numFmt w:val="decimal"/>
      <w:lvlText w:val=""/>
      <w:lvlJc w:val="left"/>
    </w:lvl>
    <w:lvl w:ilvl="3" w:tplc="86BC7CBE">
      <w:numFmt w:val="decimal"/>
      <w:lvlText w:val=""/>
      <w:lvlJc w:val="left"/>
    </w:lvl>
    <w:lvl w:ilvl="4" w:tplc="0762B73A">
      <w:numFmt w:val="decimal"/>
      <w:lvlText w:val=""/>
      <w:lvlJc w:val="left"/>
    </w:lvl>
    <w:lvl w:ilvl="5" w:tplc="A24E3264">
      <w:numFmt w:val="decimal"/>
      <w:lvlText w:val=""/>
      <w:lvlJc w:val="left"/>
    </w:lvl>
    <w:lvl w:ilvl="6" w:tplc="7792B2C4">
      <w:numFmt w:val="decimal"/>
      <w:lvlText w:val=""/>
      <w:lvlJc w:val="left"/>
    </w:lvl>
    <w:lvl w:ilvl="7" w:tplc="9244BE66">
      <w:numFmt w:val="decimal"/>
      <w:lvlText w:val=""/>
      <w:lvlJc w:val="left"/>
    </w:lvl>
    <w:lvl w:ilvl="8" w:tplc="D3A28E5A">
      <w:numFmt w:val="decimal"/>
      <w:lvlText w:val=""/>
      <w:lvlJc w:val="left"/>
    </w:lvl>
  </w:abstractNum>
  <w:num w:numId="1" w16cid:durableId="110993277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021"/>
    <w:rsid w:val="000D1BBA"/>
    <w:rsid w:val="000D6A29"/>
    <w:rsid w:val="001C5021"/>
    <w:rsid w:val="00211AD6"/>
    <w:rsid w:val="002C54F5"/>
    <w:rsid w:val="004B0446"/>
    <w:rsid w:val="00517F8F"/>
    <w:rsid w:val="005B3AA2"/>
    <w:rsid w:val="006010B0"/>
    <w:rsid w:val="007B2C18"/>
    <w:rsid w:val="00822AF8"/>
    <w:rsid w:val="00973911"/>
    <w:rsid w:val="009B2658"/>
    <w:rsid w:val="00A46B26"/>
    <w:rsid w:val="00A7293C"/>
    <w:rsid w:val="00AF13B6"/>
    <w:rsid w:val="00B12CEB"/>
    <w:rsid w:val="00B2577D"/>
    <w:rsid w:val="00D2092B"/>
    <w:rsid w:val="00D8325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79D66DD1"/>
  <w15:chartTrackingRefBased/>
  <w15:docId w15:val="{11833A2C-2CEA-9D48-8FC9-9373C4A85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021"/>
    <w:pPr>
      <w:spacing w:after="0" w:line="240" w:lineRule="auto"/>
    </w:pPr>
    <w:rPr>
      <w:rFonts w:ascii="Arial" w:eastAsia="Arial" w:hAnsi="Arial" w:cs="Arial"/>
      <w:kern w:val="0"/>
      <w:sz w:val="22"/>
      <w:szCs w:val="22"/>
      <w:lang w:eastAsia="fr-FR"/>
      <w14:ligatures w14:val="none"/>
    </w:rPr>
  </w:style>
  <w:style w:type="paragraph" w:styleId="Titre1">
    <w:name w:val="heading 1"/>
    <w:basedOn w:val="Normal"/>
    <w:next w:val="Normal"/>
    <w:link w:val="Titre1Car"/>
    <w:uiPriority w:val="9"/>
    <w:qFormat/>
    <w:rsid w:val="001C50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1C50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1C502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C502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C502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C5021"/>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C5021"/>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C5021"/>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C5021"/>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C502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1C502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1C502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C502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C502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C502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C502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C502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C5021"/>
    <w:rPr>
      <w:rFonts w:eastAsiaTheme="majorEastAsia" w:cstheme="majorBidi"/>
      <w:color w:val="272727" w:themeColor="text1" w:themeTint="D8"/>
    </w:rPr>
  </w:style>
  <w:style w:type="paragraph" w:styleId="Titre">
    <w:name w:val="Title"/>
    <w:basedOn w:val="Normal"/>
    <w:next w:val="Normal"/>
    <w:link w:val="TitreCar"/>
    <w:uiPriority w:val="10"/>
    <w:qFormat/>
    <w:rsid w:val="001C5021"/>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C502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C502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C502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C5021"/>
    <w:pPr>
      <w:spacing w:before="160"/>
      <w:jc w:val="center"/>
    </w:pPr>
    <w:rPr>
      <w:i/>
      <w:iCs/>
      <w:color w:val="404040" w:themeColor="text1" w:themeTint="BF"/>
    </w:rPr>
  </w:style>
  <w:style w:type="character" w:customStyle="1" w:styleId="CitationCar">
    <w:name w:val="Citation Car"/>
    <w:basedOn w:val="Policepardfaut"/>
    <w:link w:val="Citation"/>
    <w:uiPriority w:val="29"/>
    <w:rsid w:val="001C5021"/>
    <w:rPr>
      <w:i/>
      <w:iCs/>
      <w:color w:val="404040" w:themeColor="text1" w:themeTint="BF"/>
    </w:rPr>
  </w:style>
  <w:style w:type="paragraph" w:styleId="Paragraphedeliste">
    <w:name w:val="List Paragraph"/>
    <w:basedOn w:val="Normal"/>
    <w:qFormat/>
    <w:rsid w:val="001C5021"/>
    <w:pPr>
      <w:ind w:left="720"/>
      <w:contextualSpacing/>
    </w:pPr>
  </w:style>
  <w:style w:type="character" w:styleId="Accentuationintense">
    <w:name w:val="Intense Emphasis"/>
    <w:basedOn w:val="Policepardfaut"/>
    <w:uiPriority w:val="21"/>
    <w:qFormat/>
    <w:rsid w:val="001C5021"/>
    <w:rPr>
      <w:i/>
      <w:iCs/>
      <w:color w:val="0F4761" w:themeColor="accent1" w:themeShade="BF"/>
    </w:rPr>
  </w:style>
  <w:style w:type="paragraph" w:styleId="Citationintense">
    <w:name w:val="Intense Quote"/>
    <w:basedOn w:val="Normal"/>
    <w:next w:val="Normal"/>
    <w:link w:val="CitationintenseCar"/>
    <w:uiPriority w:val="30"/>
    <w:qFormat/>
    <w:rsid w:val="001C50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C5021"/>
    <w:rPr>
      <w:i/>
      <w:iCs/>
      <w:color w:val="0F4761" w:themeColor="accent1" w:themeShade="BF"/>
    </w:rPr>
  </w:style>
  <w:style w:type="character" w:styleId="Rfrenceintense">
    <w:name w:val="Intense Reference"/>
    <w:basedOn w:val="Policepardfaut"/>
    <w:uiPriority w:val="32"/>
    <w:qFormat/>
    <w:rsid w:val="001C5021"/>
    <w:rPr>
      <w:b/>
      <w:bCs/>
      <w:smallCaps/>
      <w:color w:val="0F4761" w:themeColor="accent1" w:themeShade="BF"/>
      <w:spacing w:val="5"/>
    </w:rPr>
  </w:style>
  <w:style w:type="paragraph" w:styleId="En-tte">
    <w:name w:val="header"/>
    <w:basedOn w:val="Normal"/>
    <w:link w:val="En-tteCar"/>
    <w:uiPriority w:val="99"/>
    <w:unhideWhenUsed/>
    <w:rsid w:val="001C5021"/>
    <w:pPr>
      <w:tabs>
        <w:tab w:val="center" w:pos="4536"/>
        <w:tab w:val="right" w:pos="9072"/>
      </w:tabs>
    </w:pPr>
  </w:style>
  <w:style w:type="character" w:customStyle="1" w:styleId="En-tteCar">
    <w:name w:val="En-tête Car"/>
    <w:basedOn w:val="Policepardfaut"/>
    <w:link w:val="En-tte"/>
    <w:uiPriority w:val="99"/>
    <w:rsid w:val="001C5021"/>
    <w:rPr>
      <w:rFonts w:ascii="Arial" w:eastAsia="Arial" w:hAnsi="Arial" w:cs="Arial"/>
      <w:kern w:val="0"/>
      <w:sz w:val="22"/>
      <w:szCs w:val="22"/>
      <w:lang w:eastAsia="fr-FR"/>
      <w14:ligatures w14:val="none"/>
    </w:rPr>
  </w:style>
  <w:style w:type="paragraph" w:styleId="Pieddepage">
    <w:name w:val="footer"/>
    <w:basedOn w:val="Normal"/>
    <w:link w:val="PieddepageCar"/>
    <w:uiPriority w:val="99"/>
    <w:unhideWhenUsed/>
    <w:rsid w:val="001C5021"/>
    <w:pPr>
      <w:tabs>
        <w:tab w:val="center" w:pos="4536"/>
        <w:tab w:val="right" w:pos="9072"/>
      </w:tabs>
    </w:pPr>
  </w:style>
  <w:style w:type="character" w:customStyle="1" w:styleId="PieddepageCar">
    <w:name w:val="Pied de page Car"/>
    <w:basedOn w:val="Policepardfaut"/>
    <w:link w:val="Pieddepage"/>
    <w:uiPriority w:val="99"/>
    <w:rsid w:val="001C5021"/>
    <w:rPr>
      <w:rFonts w:ascii="Arial" w:eastAsia="Arial" w:hAnsi="Arial" w:cs="Arial"/>
      <w:kern w:val="0"/>
      <w:sz w:val="22"/>
      <w:szCs w:val="22"/>
      <w:lang w:eastAsia="fr-FR"/>
      <w14:ligatures w14:val="none"/>
    </w:rPr>
  </w:style>
  <w:style w:type="character" w:styleId="Numrodepage">
    <w:name w:val="page number"/>
    <w:basedOn w:val="Policepardfaut"/>
    <w:uiPriority w:val="99"/>
    <w:semiHidden/>
    <w:unhideWhenUsed/>
    <w:rsid w:val="00B12CEB"/>
  </w:style>
  <w:style w:type="paragraph" w:styleId="Notedebasdepage">
    <w:name w:val="footnote text"/>
    <w:basedOn w:val="Normal"/>
    <w:link w:val="NotedebasdepageCar"/>
    <w:uiPriority w:val="99"/>
    <w:semiHidden/>
    <w:unhideWhenUsed/>
    <w:rsid w:val="00B12CEB"/>
    <w:rPr>
      <w:sz w:val="20"/>
      <w:szCs w:val="20"/>
    </w:rPr>
  </w:style>
  <w:style w:type="character" w:customStyle="1" w:styleId="NotedebasdepageCar">
    <w:name w:val="Note de bas de page Car"/>
    <w:basedOn w:val="Policepardfaut"/>
    <w:link w:val="Notedebasdepage"/>
    <w:uiPriority w:val="99"/>
    <w:semiHidden/>
    <w:rsid w:val="00B12CEB"/>
    <w:rPr>
      <w:rFonts w:ascii="Arial" w:eastAsia="Arial" w:hAnsi="Arial" w:cs="Arial"/>
      <w:kern w:val="0"/>
      <w:sz w:val="20"/>
      <w:szCs w:val="20"/>
      <w:lang w:eastAsia="fr-FR"/>
      <w14:ligatures w14:val="none"/>
    </w:rPr>
  </w:style>
  <w:style w:type="character" w:styleId="Appelnotedebasdep">
    <w:name w:val="footnote reference"/>
    <w:basedOn w:val="Policepardfaut"/>
    <w:uiPriority w:val="99"/>
    <w:semiHidden/>
    <w:unhideWhenUsed/>
    <w:rsid w:val="00B12CEB"/>
    <w:rPr>
      <w:vertAlign w:val="superscript"/>
    </w:rPr>
  </w:style>
  <w:style w:type="paragraph" w:customStyle="1" w:styleId="assnatloitexte">
    <w:name w:val="assnatloitexte"/>
    <w:basedOn w:val="Normal"/>
    <w:rsid w:val="00B12CEB"/>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Policepardfaut"/>
    <w:rsid w:val="00B12C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1082</Words>
  <Characters>5639</Characters>
  <Application>Microsoft Office Word</Application>
  <DocSecurity>0</DocSecurity>
  <Lines>106</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 name</dc:creator>
  <cp:keywords/>
  <dc:description/>
  <cp:lastModifiedBy>Emmanuel Hirsch</cp:lastModifiedBy>
  <cp:revision>4</cp:revision>
  <dcterms:created xsi:type="dcterms:W3CDTF">2026-05-13T14:29:00Z</dcterms:created>
  <dcterms:modified xsi:type="dcterms:W3CDTF">2026-05-13T15:56:00Z</dcterms:modified>
</cp:coreProperties>
</file>